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  <w:sz w:val="24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b w:val="1"/>
          <w:color w:val="auto"/>
          <w:sz w:val="24"/>
        </w:rPr>
        <w:t>様式１３</w:t>
      </w:r>
    </w:p>
    <w:p>
      <w:pPr>
        <w:pStyle w:val="0"/>
        <w:jc w:val="center"/>
        <w:rPr>
          <w:rFonts w:hint="eastAsia" w:ascii="BIZ UDゴシック" w:hAnsi="BIZ UDゴシック" w:eastAsia="BIZ UDゴシック"/>
          <w:b w:val="1"/>
          <w:sz w:val="32"/>
        </w:rPr>
      </w:pPr>
      <w:r>
        <w:rPr>
          <w:rFonts w:hint="eastAsia" w:ascii="BIZ UDゴシック" w:hAnsi="BIZ UDゴシック" w:eastAsia="BIZ UDゴシック"/>
          <w:b w:val="1"/>
          <w:sz w:val="32"/>
        </w:rPr>
        <w:t>申込者の同種・類似業務受託実績の状況（過去</w:t>
      </w:r>
      <w:r>
        <w:rPr>
          <w:rFonts w:hint="eastAsia" w:ascii="BIZ UDゴシック" w:hAnsi="BIZ UDゴシック" w:eastAsia="BIZ UDゴシック"/>
          <w:b w:val="1"/>
          <w:sz w:val="32"/>
        </w:rPr>
        <w:t>5</w:t>
      </w:r>
      <w:r>
        <w:rPr>
          <w:rFonts w:hint="eastAsia" w:ascii="BIZ UDゴシック" w:hAnsi="BIZ UDゴシック" w:eastAsia="BIZ UDゴシック"/>
          <w:b w:val="1"/>
          <w:sz w:val="32"/>
        </w:rPr>
        <w:t>年間）</w:t>
      </w: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</w:rPr>
      </w:pP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  <w:u w:val="single" w:color="auto"/>
        </w:rPr>
      </w:pPr>
      <w:r>
        <w:rPr>
          <w:rFonts w:hint="eastAsia" w:ascii="BIZ UDゴシック" w:hAnsi="BIZ UDゴシック" w:eastAsia="BIZ UDゴシック"/>
          <w:sz w:val="24"/>
        </w:rPr>
        <w:t>　　　　　　　　　　　　　　　　　　</w:t>
      </w:r>
      <w:r>
        <w:rPr>
          <w:rFonts w:hint="eastAsia" w:ascii="BIZ UDゴシック" w:hAnsi="BIZ UDゴシック" w:eastAsia="BIZ UDゴシック"/>
          <w:sz w:val="24"/>
          <w:u w:val="single" w:color="auto"/>
        </w:rPr>
        <w:t>申込者名：</w:t>
      </w:r>
      <w:r>
        <w:rPr>
          <w:rFonts w:hint="eastAsia" w:ascii="BIZ UDゴシック" w:hAnsi="BIZ UDゴシック" w:eastAsia="BIZ UDゴシック"/>
          <w:sz w:val="24"/>
          <w:highlight w:val="none"/>
          <w:u w:val="single" w:color="auto"/>
          <w:shd w:val="clear" w:color="auto" w:fill="auto"/>
        </w:rPr>
        <w:t>　　　　　　　　　　　　　　　　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</w:p>
    <w:tbl>
      <w:tblPr>
        <w:tblStyle w:val="17"/>
        <w:tblpPr w:leftFromText="0" w:rightFromText="0" w:topFromText="0" w:bottomFromText="0" w:vertAnchor="text" w:horzAnchor="margin" w:tblpX="239" w:tblpY="15"/>
        <w:tblOverlap w:val="never"/>
        <w:tblW w:w="12914" w:type="dxa"/>
        <w:tblLayout w:type="fixed"/>
        <w:tblLook w:firstRow="1" w:lastRow="0" w:firstColumn="1" w:lastColumn="0" w:noHBand="0" w:noVBand="1" w:val="04A0"/>
      </w:tblPr>
      <w:tblGrid>
        <w:gridCol w:w="546"/>
        <w:gridCol w:w="2034"/>
        <w:gridCol w:w="2200"/>
        <w:gridCol w:w="2530"/>
        <w:gridCol w:w="2531"/>
        <w:gridCol w:w="3073"/>
      </w:tblGrid>
      <w:tr>
        <w:trPr>
          <w:trHeight w:val="360" w:hRule="atLeast"/>
        </w:trPr>
        <w:tc>
          <w:tcPr>
            <w:tcW w:w="630" w:type="dxa"/>
            <w:vMerge w:val="restart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366" w:type="dxa"/>
            <w:gridSpan w:val="5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同種・類似業務の実績</w:t>
            </w:r>
          </w:p>
        </w:tc>
      </w:tr>
      <w:tr>
        <w:trPr>
          <w:trHeight w:val="335" w:hRule="atLeast"/>
        </w:trPr>
        <w:tc>
          <w:tcPr>
            <w:tcW w:w="630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520" w:type="dxa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  <w:sz w:val="24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業務名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  <w:sz w:val="24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発注者名</w:t>
            </w:r>
          </w:p>
        </w:tc>
        <w:tc>
          <w:tcPr>
            <w:tcW w:w="3150" w:type="dxa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  <w:sz w:val="28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受託期間</w:t>
            </w:r>
          </w:p>
        </w:tc>
        <w:tc>
          <w:tcPr>
            <w:tcW w:w="3150" w:type="dxa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  <w:sz w:val="24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金額</w:t>
            </w:r>
          </w:p>
        </w:tc>
        <w:tc>
          <w:tcPr>
            <w:tcW w:w="3840" w:type="dxa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業務内容及び収容台数</w:t>
            </w: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１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２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３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４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５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６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７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８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９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10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</w:tbl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</w:t>
      </w:r>
      <w:r>
        <w:rPr>
          <w:rFonts w:hint="eastAsia" w:ascii="BIZ UDゴシック" w:hAnsi="BIZ UDゴシック" w:eastAsia="BIZ UDゴシック"/>
          <w:sz w:val="24"/>
          <w:u w:val="none" w:color="auto"/>
        </w:rPr>
        <w:t>10</w:t>
      </w:r>
      <w:r>
        <w:rPr>
          <w:rFonts w:hint="eastAsia" w:ascii="BIZ UDゴシック" w:hAnsi="BIZ UDゴシック" w:eastAsia="BIZ UDゴシック"/>
          <w:sz w:val="24"/>
          <w:u w:val="none" w:color="auto"/>
        </w:rPr>
        <w:t>以上の実績がある場合は適宜行を追加すること。</w:t>
      </w:r>
      <w:r>
        <w:rPr>
          <w:rFonts w:hint="eastAsia" w:ascii="BIZ UDゴシック" w:hAnsi="BIZ UDゴシック" w:eastAsia="BIZ UDゴシック"/>
          <w:sz w:val="24"/>
          <w:u w:val="none" w:color="auto"/>
        </w:rPr>
        <w:t>50</w:t>
      </w:r>
      <w:r>
        <w:rPr>
          <w:rFonts w:hint="eastAsia" w:ascii="BIZ UDゴシック" w:hAnsi="BIZ UDゴシック" w:eastAsia="BIZ UDゴシック"/>
          <w:sz w:val="24"/>
          <w:u w:val="none" w:color="auto"/>
        </w:rPr>
        <w:t>を超える実績がある場合は、直近の</w:t>
      </w:r>
      <w:r>
        <w:rPr>
          <w:rFonts w:hint="eastAsia" w:ascii="BIZ UDゴシック" w:hAnsi="BIZ UDゴシック" w:eastAsia="BIZ UDゴシック"/>
          <w:sz w:val="24"/>
          <w:u w:val="none" w:color="auto"/>
        </w:rPr>
        <w:t>50</w:t>
      </w:r>
      <w:r>
        <w:rPr>
          <w:rFonts w:hint="eastAsia" w:ascii="BIZ UDゴシック" w:hAnsi="BIZ UDゴシック" w:eastAsia="BIZ UDゴシック"/>
          <w:sz w:val="24"/>
          <w:u w:val="none" w:color="auto"/>
        </w:rPr>
        <w:t>の実績を記載すること。※「同種業務」とは、国または地方公共団体が設置する駐輪場の指定管理業務とする。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※「同規模」とは、上記「同種業務」で今回公募する指定管理施設と同じく、車両の総収容台数が</w:t>
      </w:r>
      <w:r>
        <w:rPr>
          <w:rFonts w:hint="eastAsia" w:ascii="BIZ UDゴシック" w:hAnsi="BIZ UDゴシック" w:eastAsia="BIZ UDゴシック"/>
          <w:sz w:val="24"/>
          <w:u w:val="none" w:color="auto"/>
        </w:rPr>
        <w:t>1,000</w:t>
      </w:r>
      <w:r>
        <w:rPr>
          <w:rFonts w:hint="eastAsia" w:ascii="BIZ UDゴシック" w:hAnsi="BIZ UDゴシック" w:eastAsia="BIZ UDゴシック"/>
          <w:sz w:val="24"/>
          <w:u w:val="none" w:color="auto"/>
        </w:rPr>
        <w:t>台以上の規模とする。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※「類似業務」とは、国、地方公共団体または民間事業者が設置する駐輪場の管理運営（委託）業務とする。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※共同事業体での提案の場合、代表法人の実績を用いること。</w:t>
      </w:r>
    </w:p>
    <w:sectPr>
      <w:pgSz w:w="16838" w:h="11906" w:orient="landscape"/>
      <w:pgMar w:top="1531" w:right="1985" w:bottom="153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メイリオ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P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336</TotalTime>
  <Pages>2</Pages>
  <Words>7</Words>
  <Characters>309</Characters>
  <Application>JUST Note</Application>
  <Lines>89</Lines>
  <Paragraphs>23</Paragraphs>
  <Company>箕面市役所</Company>
  <CharactersWithSpaces>343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松本　圭司(手動)</cp:lastModifiedBy>
  <dcterms:created xsi:type="dcterms:W3CDTF">2020-03-04T05:54:00Z</dcterms:created>
  <dcterms:modified xsi:type="dcterms:W3CDTF">2026-08-03T09:20:50Z</dcterms:modified>
  <cp:revision>2</cp:revision>
</cp:coreProperties>
</file>